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656-24-4- 2438-0034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656-18-293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Scott Gifford Contract Specialist</w:t>
                    </w: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Scott Gifford Contract Specialist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36C26324R0097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06-06-2024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July 19, 2024 at 10am CT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to:                        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Provided Updated Wage Determination.                 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Issue the contractor questions and the Government responses.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3. Provide the pre-solicitation site visit sign-in sheet.   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4. Extend the proposal due date to 7/19/2024 at 10am CT.    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Teresa Kohlbeck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    VA-VHA-RPOC-2023-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ageBreakBefore/>
        <w:ind w:left="360"/>
      </w:pPr>
      <w:r>
        <w:t>See attached document: Attachment A - Updated WD MN20240206 6-7-2024.</w:t>
      </w:r>
    </w:p>
    <w:p>
      <w:pPr>
        <w:ind w:left="360"/>
      </w:pPr>
      <w:r>
        <w:t>See attached document: Attachment B - Questions and Answers 1 thru 17.</w:t>
      </w:r>
    </w:p>
    <w:p>
      <w:pPr>
        <w:ind w:left="360"/>
      </w:pPr>
      <w:r>
        <w:t>See attached document: Attachment C - Pre-Bid Sign-in Sheet.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2024-06-27T17:36:57Z</dcterms:created>
  <dcterms:modified xsi:type="dcterms:W3CDTF">2024-06-27T17:36:57Z</dcterms:modified>
</cp:coreProperties>
</file>