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0002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656-24-4- 2438-0034</w:t>
                    </w: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656-18-293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Scott Gifford Contract Specialist</w:t>
                    </w: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Scott Gifford Contract Specialist</w:t>
                    </w: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36C26324R0097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07-01-2024</w:t>
                    </w: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1005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July 19, 2024 at 10am CT</w:t>
                    </w: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The purpose of this amendment is to:                        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1. Issue one additional contractor question and the Government response.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Teresa Kohlbeck  Contracting Officer</w:t>
                    </w: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VA-VHA-RPOC-2023-0057</w:t>
                    </w: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>
      <w:pPr>
        <w:pageBreakBefore/>
        <w:ind w:left="360"/>
      </w:pPr>
      <w:r>
        <w:t>See attached document: Attachment A - 36C26324R0097 Additional Question and Answer 1 thru 18.</w:t>
      </w:r>
    </w:p>
    <w:sectPr>
      <w:type w:val="continuous"/>
      <w:pgMar w:top="1080" w:right="1440" w:bottom="1080" w:left="1440" w:header="360" w:footer="36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2024-07-01T17:55:01Z</dcterms:created>
  <dcterms:modified xsi:type="dcterms:W3CDTF">2024-07-01T17:55:01Z</dcterms:modified>
</cp:coreProperties>
</file>